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ДОГОВОР НА ОКАЗАНИЕ УСЛУГ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ЗАЯВКА НА ПОДБОР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tbl>
      <w:tblPr>
        <w:tblW w:w="0" w:type="auto"/>
        <w:tblCellMar>
          <w:left w:w="15" w:type="dxa"/>
          <w:top w:w="15" w:type="dxa"/>
          <w:right w:w="15" w:type="dxa"/>
          <w:bottom w:w="15" w:type="dxa"/>
        </w:tblCellMar>
        <w:tblLook w:val="04A0" w:firstRow="1" w:lastRow="0" w:firstColumn="1" w:lastColumn="0" w:noHBand="0" w:noVBand="1"/>
      </w:tblPr>
      <w:tblGrid>
        <w:gridCol w:w="1884"/>
        <w:gridCol w:w="7399"/>
      </w:tblGrid>
      <w:tr>
        <w:trPr>
          <w:trHeight w:val="793"/>
        </w:trPr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ind w:left="-860" w:firstLine="7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-860" w:firstLine="760"/>
              <w:jc w:val="both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 xml:space="preserve">Благовещенск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  <w:tc>
          <w:tcPr>
            <w:tcMar>
              <w:left w:w="100" w:type="dxa"/>
              <w:top w:w="0" w:type="dxa"/>
              <w:right w:w="100" w:type="dxa"/>
              <w:bottom w:w="0" w:type="dxa"/>
            </w:tcMar>
            <w:tcW w:w="0" w:type="auto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left="-860" w:firstLine="2260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       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июня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ind w:right="115"/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Общество с ограниченной ответственностью АЗИЯ ДЖЕНЕРАЛ АВТО ЧЖОН ЮЙ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, действующий от своего имени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именуемый в дальнейшем «Исполнитель»,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333333"/>
          <w:lang w:eastAsia="ru-RU"/>
        </w:rPr>
        <w:t xml:space="preserve">Гражданин,</w:t>
      </w:r>
      <w:r>
        <w:rPr>
          <w:rFonts w:ascii="Times New Roman" w:hAnsi="Times New Roman" w:cs="Times New Roman"/>
        </w:rPr>
        <w:t xml:space="preserve"> дата рождения,</w:t>
      </w:r>
      <w:r>
        <w:rPr>
          <w:rFonts w:ascii="Times New Roman" w:hAnsi="Times New Roman" w:cs="Times New Roman"/>
          <w:spacing w:val="37"/>
        </w:rPr>
        <w:t xml:space="preserve"> </w:t>
      </w:r>
      <w:r>
        <w:rPr>
          <w:rFonts w:ascii="Times New Roman" w:hAnsi="Times New Roman" w:cs="Times New Roman"/>
        </w:rPr>
        <w:t xml:space="preserve">паспорт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 xml:space="preserve">серии ,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 xml:space="preserve">№,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 xml:space="preserve">выданный:,</w:t>
      </w:r>
      <w:r>
        <w:rPr>
          <w:rFonts w:ascii="Times New Roman" w:hAnsi="Times New Roman" w:cs="Times New Roman"/>
          <w:spacing w:val="-57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</w:t>
      </w:r>
      <w:r>
        <w:rPr>
          <w:rFonts w:ascii="Times New Roman" w:hAnsi="Times New Roman" w:cs="Times New Roman"/>
          <w:spacing w:val="7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</w:t>
      </w:r>
      <w:r>
        <w:rPr>
          <w:rFonts w:ascii="Times New Roman" w:hAnsi="Times New Roman" w:cs="Times New Roman"/>
          <w:spacing w:val="7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адресу: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,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именуемый(-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) в дальнейшем «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Заказчик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действующего(-ей) на основании физического лица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с другой стороны,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вместе именуемые «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Стороны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», а индивидуально – «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Сторона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», заключили настоящий договор оказания услуг (далее – 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Договор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), о нижеследующем:</w:t>
      </w:r>
      <w:r>
        <w:rPr>
          <w:rFonts w:ascii="Times New Roman" w:hAnsi="Times New Roman" w:eastAsia="Times New Roman" w:cs="Times New Roman"/>
          <w:color w:val="333333"/>
          <w:lang w:eastAsia="ru-RU"/>
        </w:rPr>
        <w:t xml:space="preserve">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1. ПРЕДМЕТ ДОГОВОРА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1.1. Заказчик поручает, а Ис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полнитель принимает на себя обязательства по подбору ТС для Заказчика и оказанию содействия Заказчику при совершении им операции купли-продажи вышеуказанного ТС. Заказчик обязуется оплатить услуги Исполнителя в размере, предусмотренном настоящим Договором.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1.2. Требования, предъявляемые Заказчиком к данному ТС указаны в Приложении №1 (далее – Спецификация).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2. ОБЯЗАННОСТИ ИСПОЛНИТЕЛЯ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2.1. Исполнитель обязуется: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2.1.1. Своими силами, в течение срока действия настоящего договора, подобрать и предложить Заказчику на выбор до ________ автомобилей, соответствующих описанию Заказчика;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2.1.2. Содействовать в подборе документов, необходимых для регистрации сделки купли-продажи подобранного для Заказчика ТС, и сформировать данный пакет документов;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2.1.3. В случае одобрения Заказчиком одного из предложенных автомобилей, своими силами произвести юридическую проверку автомобиля и документов на него;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2.1.4. Обеспечить конфиденциальность и безопасность совершаемой сделки;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2.1.5. Предоставить Договор поставки, согласовать его условия с Заказчиком, организовать его подписание и исполнение;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3. ОБЯЗАННОСТИ ЗАКАЗЧИКА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3.1. Заказчик обязуется: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3.1.1. Своевременно рассматривать варианты, предлагаемые ему Исполнителем, осматривать ТС, выбранные для просмотров;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3.1.2. Оплатить работу Исполнителя по подбору ТС в соответствии с настоящим Договором;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3.1.3. Предоставить со своей стороны необходимые документы для заключения договора купли-продажи (инвойс) и дальнейшей его транспортировки в РФ;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3.1.4. В случае необходимости выдавать Исполнителю доверенности на проведение от его лица проверки ТС;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3.1.5. В течение срока действия настоящего Договора не вступать в отношения с третьими лицами по предмету настоящего Договора.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4. ПОРЯДОК ОПЛАТЫ УСЛУГ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4.1. Стоимость услуг Исполнителя по настоящему Договору составляет 10 000 (десять тысяч)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рублей.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4.2. Информация, пере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данная Исполнителем Заказчику, относится к сугубо конфиденциальной. Если Заказчик отказывается от предложенного ему варианта ТС, он не вправе воспользоваться им в своих интересах. В противном случае Исполнитель вправе рассматривать свою работу выполненной.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4.3. Заказчик оплачивает услуги Исполнителя в момент подписания настоящего Договора.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4.4. Оплата производится в любой форме, разрешённой на территории РФ.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4.5. Срок подбора ТС начинается с момента подписания настоящего Договора и заканчивается подписанием Акта согласования (Приложение №2). Срок подбора – 14 рабочих дней.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5. ОТВЕТСТВЕННОСТЬ СТОРОН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5.1. В целях исполнения п.1.1 настоящего Дого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вора, Исполнитель принимает на себя обязательства осуществить следующие действия: своими силами, в течение срока действия настоящего Договора, подобрать и предложить Заказчику на выбор ТС, соответствующие Спецификации, если иное не предусмотрено Сторонами.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spacing w:after="0" w:line="240" w:lineRule="auto"/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5.2. Исполнитель гарантирует соответствие сделки действующему законодательству Российской Федерации.</w:t>
      </w: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5.3. Ответственность, не предусмотренная настоящим Договором, наступает в соответствии с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5.4. В течение срока действия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настоящего Договора Исполнитель имеет право предоставить Заказчику для осмотра как несколько автомобилей одновременно, так и по одному, в разные дни, по мере их подбора, Исполнитель имеет право осуществлять любые действия, разрешённые законодательством РФ.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5.5. Заказчик обязан осмотреть каждый из представленных автомобилей в течение 24 часов с момента оповещения Исполнителем по телефону о том, что автомобиль готов к осмотру и приобретению.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5.6. В случае неодобрения Заказчиком автомобиля, предложе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нного Исполнителем и соответствующего параметрам, указанным в Приложении №1 (Спецификация) к Договору, Заказчик обязан подписать Акт осмотра автомобиля, являющийся подтверждением частичного исполнения Исполнителем своих обязательств по настоящему Договору.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5.7. В случае, если Заказчиком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был приобретен один из подобранных Исполнителем автомобилей, обязательства Исполнителя по настоящему Договору считаются полностью выполненными. Подтверждением этому является договор купли продажи (инвойс) и подтверждение оплаты соответствующей квитанцией.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5.8. В случае неодобрения Заказчиком ________ автомобилей, предложенных Исполнителем и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 соответствующих параметрам, указанным в Приложении к Договору, обязательства Исполнителя перед Заказчиком по настоящему Договору прекращаются, и Исполнитель имеет право удержать в полном объёме вознаграждение, уплаченное Заказчиком по настоящему договору.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5.9. В 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случае, если окажется невозможным подобрать и предложить к осмотру автомобили в соответствии с условиями настоящего договора, Исполнитель обязан известить об этом Заказчика и возвратить ему в полном объёме вознаграждение, полученное по настоящему Договору.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 xml:space="preserve">6. ФОРС-МАЖОР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6.1. Все проблемы, носящие личный характер не являются причиной для неисполнения настоящего Договора.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6.2. Ни одна из сторон не будет нести ответственности за полное или частичное неисполнение любой из своих обязанностей по Договору, если такое неисполнение является следствием обстоятельств непреодолимой силы. Если обстоятельства не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преодолимой силы продолжают действовать более шести месяцев и нет возможности сделать обязательное заявление о дате их прекращения в течение этого периода, то каждая сторона имеет право расторгнуть настоящий договор и возвратить все полученное по Договору.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6.3. Срок поставки ТС может быть продлен ввиду обстоятельств, которые не зависят от Поставщика.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6.4. Срок поставки ТС может быть продлен ввиду обстоятельств, возможных в государстве откуда производится Поставка ТС согласно Спецификации настоящего Договора, которые не зависят от Поставщика.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7. ПОРЯДОК РАЗРЕШЕНИЯ СПОРОВ, ИЗМЕНЕНИЕ И РАСТОРЖЕНИЕ ДОГОВОРА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7.1. Споры, возникающие при исполнении и расторжении настоящего Договора, разрешаются в порядке, установленном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7.2. Настоящий Договор может быть расторгнут по требованию любой из сторон после предоставления мотивированных обстоятельств для его расторжения.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7.3. Заказчик вправе отказаться от исполнения настоящего договора при условии оплаты Исполнителю фактически понесённых им расходов.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7.4. При возникновении препятствий по выполнению условий настоящего Договора Заказчик и Исполнитель обязуются незамедлительно сообщать о них друг другу.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7.5.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Споры, вытекающие из настоящего договора, разрешаются сторонами путем переговоров.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7.6.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Срок рассмотрения и ответа на претензию 10 (десять) календарных дней с момента ее получения.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7.7.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ab/>
        <w:t xml:space="preserve">Разногласия, не урегулированные путем переговоров, подлежат рассмотрению в суде.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center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333333"/>
          <w:sz w:val="24"/>
          <w:szCs w:val="24"/>
          <w:lang w:eastAsia="ru-RU"/>
        </w:rPr>
        <w:t xml:space="preserve">8. ЗАКЛЮЧИТЕЛЬНЫЕ ПОЛОЖЕНИЯ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8.1. Ни одна из сторон не может передавать свои права и обязанности по настоящему Договору третьему лицу, за исключением их законных правопреемников, без письменного на то согласия другой стороны. 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8.2. После вступления Договор</w:t>
      </w: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а в силу вся предыдущая переписка и относящиеся к нему переговоры считаются недействительными. Изменения и дополнения к настоящему Договору действительны, если они совершены в письменной форме и подписаны от имени обеих сторон уполномоченными на то лицами.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  <w:t xml:space="preserve">8.3. Настоящий Договор составлен в 2-х экземплярах, имеющих одинаковую юридическую силу.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8.4. В остальном, что не урегулировано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8.5. Неотъемлемой частью настоящего Договора является Приложение №1 (Спецификация), Приложение №2 (Акт согласования).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r>
    </w:p>
    <w:p>
      <w:pPr>
        <w:jc w:val="center"/>
        <w:spacing w:before="240" w:after="0" w:line="240" w:lineRule="auto"/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  <w:t xml:space="preserve">9.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en-US" w:eastAsia="ru-RU"/>
        </w:rPr>
        <w:t xml:space="preserve">РЕКВИЗИТЫ И ПОДПИСИ СТОРОН</w:t>
      </w:r>
      <w:r>
        <w:rPr>
          <w:rFonts w:ascii="Times New Roman" w:hAnsi="Times New Roman" w:eastAsia="Times New Roman" w:cs="Times New Roman"/>
          <w:sz w:val="24"/>
          <w:szCs w:val="24"/>
          <w:lang w:val="en-US" w:eastAsia="ru-RU"/>
        </w:rPr>
      </w:r>
    </w:p>
    <w:tbl>
      <w:tblPr>
        <w:tblStyle w:val="683"/>
        <w:tblpPr w:horzAnchor="margin" w:tblpXSpec="center" w:vertAnchor="text" w:tblpY="451" w:leftFromText="180" w:topFromText="0" w:rightFromText="180" w:bottomFromText="0"/>
        <w:tblW w:w="9776" w:type="dxa"/>
        <w:tblLook w:val="04A0" w:firstRow="1" w:lastRow="0" w:firstColumn="1" w:lastColumn="0" w:noHBand="0" w:noVBand="1"/>
      </w:tblPr>
      <w:tblGrid>
        <w:gridCol w:w="5240"/>
        <w:gridCol w:w="4536"/>
      </w:tblGrid>
      <w:tr>
        <w:trPr>
          <w:trHeight w:val="256"/>
        </w:trPr>
        <w:tc>
          <w:tcPr>
            <w:tcW w:w="5240" w:type="dxa"/>
            <w:textDirection w:val="lrTb"/>
            <w:noWrap w:val="false"/>
          </w:tcPr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Клиент: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4228"/>
        </w:trPr>
        <w:tc>
          <w:tcPr>
            <w:tcW w:w="5240" w:type="dxa"/>
            <w:textDirection w:val="lrTb"/>
            <w:noWrap w:val="false"/>
          </w:tcPr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наименование: ООО 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ДЖЕНЕРАЛ АВТО ЧЖОН ЮЙ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675000, Амурская область, г. Свободный, д.59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675000, Амурская область, г. Благовещенск, ул. Кольцевая 57/2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675000, Амурская область, г. Благовещенск, ул. Кольцевая 57/2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ИНН: 2801195997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Банк: Дальневосточный банк ПАО Сбербанк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040813608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К/счет: 30101810600000000608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Р/счет: 40702810903000012485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ОГРН: 1142801004367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/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 Д.В.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и когда выдан: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Сот.тел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____________________//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№ от «» </w:t>
      </w:r>
      <w:r>
        <w:rPr>
          <w:rFonts w:ascii="Times New Roman" w:hAnsi="Times New Roman" w:cs="Times New Roman"/>
          <w:sz w:val="24"/>
          <w:szCs w:val="24"/>
        </w:rPr>
        <w:t xml:space="preserve">июня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СПЕЦИФИКАЦИЯ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Благовещенск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«» </w:t>
      </w:r>
      <w:r>
        <w:rPr>
          <w:rFonts w:ascii="Times New Roman" w:hAnsi="Times New Roman" w:cs="Times New Roman"/>
          <w:sz w:val="24"/>
          <w:szCs w:val="24"/>
        </w:rPr>
        <w:t xml:space="preserve">июня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Общество с ограниченной ответственностью АЗИЯ ДЖЕНЕРАЛ АВТО ЧЖОН ЮЙ</w:t>
      </w:r>
      <w:bookmarkStart w:id="0" w:name="_GoBack"/>
      <w:r/>
      <w:bookmarkEnd w:id="0"/>
      <w:r>
        <w:rPr>
          <w:rFonts w:ascii="Times New Roman" w:hAnsi="Times New Roman" w:cs="Times New Roman"/>
          <w:sz w:val="24"/>
          <w:szCs w:val="24"/>
        </w:rPr>
        <w:t xml:space="preserve">, именуемый в дальнейшем «Исполнитель», с одной стороны, и</w:t>
      </w:r>
      <w:bookmarkStart w:id="1" w:name="_Hlk161406027"/>
      <w:r/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Гражданин</w:t>
      </w:r>
      <w:r>
        <w:rPr>
          <w:rFonts w:ascii="Times New Roman" w:hAnsi="Times New Roman" w:cs="Times New Roman"/>
          <w:sz w:val="24"/>
          <w:szCs w:val="24"/>
        </w:rPr>
        <w:t xml:space="preserve">, дата рождения, паспорт серии, №, выданный:, зарегистрирован по адресу:, именуемый в дальнейшем «Заказчик», с другой стороны, далее совместно именуемые «Стороны», заключили настоящую   спецификацию о нижеследующем:</w:t>
      </w:r>
      <w:bookmarkEnd w:id="1"/>
      <w:r>
        <w:rPr>
          <w:rFonts w:ascii="Times New Roman" w:hAnsi="Times New Roman" w:cs="Times New Roman"/>
          <w:sz w:val="24"/>
          <w:szCs w:val="24"/>
        </w:rPr>
      </w:r>
    </w:p>
    <w:p>
      <w:pPr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обязуется подобрать ТС, а Заказчик обеспечить оплату и согласовать его приобретение (далее - ТС):</w:t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683"/>
        <w:tblW w:w="9640" w:type="dxa"/>
        <w:tblInd w:w="-147" w:type="dxa"/>
        <w:tblLook w:val="04A0" w:firstRow="1" w:lastRow="0" w:firstColumn="1" w:lastColumn="0" w:noHBand="0" w:noVBand="1"/>
      </w:tblPr>
      <w:tblGrid>
        <w:gridCol w:w="2844"/>
        <w:gridCol w:w="2458"/>
        <w:gridCol w:w="1218"/>
        <w:gridCol w:w="1265"/>
        <w:gridCol w:w="1855"/>
      </w:tblGrid>
      <w:tr>
        <w:trPr>
          <w:trHeight w:val="337"/>
        </w:trPr>
        <w:tc>
          <w:tcPr>
            <w:tcW w:w="28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245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Технические характеристики и описание ТС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21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Ед. изм.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26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  <w:tc>
          <w:tcPr>
            <w:tcW w:w="18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</w:r>
          </w:p>
        </w:tc>
      </w:tr>
      <w:tr>
        <w:trPr>
          <w:trHeight w:val="168"/>
        </w:trPr>
        <w:tc>
          <w:tcPr>
            <w:tcW w:w="284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</w:r>
          </w:p>
        </w:tc>
        <w:tc>
          <w:tcPr>
            <w:tcW w:w="245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1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265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5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683"/>
        <w:tblpPr w:horzAnchor="margin" w:tblpXSpec="center" w:vertAnchor="text" w:tblpY="451" w:leftFromText="180" w:topFromText="0" w:rightFromText="180" w:bottomFromText="0"/>
        <w:tblW w:w="9479" w:type="dxa"/>
        <w:tblLook w:val="04A0" w:firstRow="1" w:lastRow="0" w:firstColumn="1" w:lastColumn="0" w:noHBand="0" w:noVBand="1"/>
      </w:tblPr>
      <w:tblGrid>
        <w:gridCol w:w="4962"/>
        <w:gridCol w:w="4517"/>
      </w:tblGrid>
      <w:tr>
        <w:trPr>
          <w:trHeight w:val="258"/>
        </w:trPr>
        <w:tc>
          <w:tcPr>
            <w:tcW w:w="4962" w:type="dxa"/>
            <w:textDirection w:val="lrTb"/>
            <w:noWrap w:val="false"/>
          </w:tcPr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17" w:type="dxa"/>
            <w:textDirection w:val="lrTb"/>
            <w:noWrap w:val="false"/>
          </w:tcPr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Клиент: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rPr>
          <w:trHeight w:val="4264"/>
        </w:trPr>
        <w:tc>
          <w:tcPr>
            <w:tcW w:w="4962" w:type="dxa"/>
            <w:textDirection w:val="lrTb"/>
            <w:noWrap w:val="false"/>
          </w:tcPr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наименование: ООО 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ДЖЕНЕРАЛ АВТО ЧЖОН ЮЙ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675000,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Амурская область, г. Свободный, д.59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адрес: 675000,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Амурская область, г. Благовещенск,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Кольцевая 57/2</w:t>
            </w:r>
            <w:r/>
            <w:r/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675000, Амурская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Благовещенск, ул. Кольцевая 57/2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/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ИНН: 2801195997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Банк: Дальневосточный банк ПАО Сбербанк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040813608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К/счет: 30101810600000000608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Р/счет: 40702810903000012485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ОГРН: 1142801004367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141"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/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 Д.В.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jc w:val="center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4517" w:type="dxa"/>
            <w:textDirection w:val="lrTb"/>
            <w:noWrap w:val="false"/>
          </w:tcPr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Кем и когда выдан: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 по адресу: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Сот.тел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right="-59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____________________//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Реквизиты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bot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r/>
      <w:r/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SimSun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/>
      </w:pPr>
      <w:r>
        <w:separator/>
      </w:r>
      <w:r/>
    </w:p>
  </w:footnote>
  <w:footnote w:type="continuationSeparator" w:id="0">
    <w:p>
      <w:pPr>
        <w:spacing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1" locked="0" layoutInCell="1" allowOverlap="1">
              <wp:simplePos x="0" y="0"/>
              <wp:positionH relativeFrom="column">
                <wp:posOffset>4276725</wp:posOffset>
              </wp:positionH>
              <wp:positionV relativeFrom="page">
                <wp:posOffset>0</wp:posOffset>
              </wp:positionV>
              <wp:extent cx="1772285" cy="758825"/>
              <wp:effectExtent l="0" t="0" r="0" b="0"/>
              <wp:wrapTight wrapText="bothSides">
                <wp:wrapPolygon edited="1">
                  <wp:start x="3250" y="2169"/>
                  <wp:lineTo x="1393" y="4880"/>
                  <wp:lineTo x="1393" y="11930"/>
                  <wp:lineTo x="3018" y="13556"/>
                  <wp:lineTo x="4179" y="18979"/>
                  <wp:lineTo x="19967" y="18979"/>
                  <wp:lineTo x="20199" y="17352"/>
                  <wp:lineTo x="19271" y="15183"/>
                  <wp:lineTo x="16484" y="11930"/>
                  <wp:lineTo x="20431" y="10303"/>
                  <wp:lineTo x="19503" y="5423"/>
                  <wp:lineTo x="10216" y="2169"/>
                  <wp:lineTo x="3250" y="2169"/>
                </wp:wrapPolygon>
              </wp:wrapTight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72285" cy="7588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8240;o:allowoverlap:true;o:allowincell:true;mso-position-horizontal-relative:text;margin-left:336.75pt;mso-position-horizontal:absolute;mso-position-vertical-relative:page;margin-top:0.00pt;mso-position-vertical:absolute;width:139.55pt;height:59.75pt;mso-wrap-distance-left:9.00pt;mso-wrap-distance-top:0.00pt;mso-wrap-distance-right:9.00pt;mso-wrap-distance-bottom:0.00pt;" wrapcoords="15046 10042 6449 22593 6449 55231 13972 62759 19347 87866 92440 87866 93514 80333 89218 70292 76315 55231 94588 47699 90292 25106 47296 10042 15046 10042" stroked="false">
              <v:path textboxrect="0,0,0,0"/>
              <w10:wrap type="tight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574" w:hanging="240"/>
      </w:pPr>
      <w:rPr>
        <w:rFonts w:hint="default" w:ascii="Times New Roman" w:hAnsi="Times New Roman" w:eastAsia="Times New Roman" w:cs="Times New Roman"/>
        <w:b w:val="0"/>
        <w:bCs w:val="0"/>
        <w:sz w:val="24"/>
        <w:szCs w:val="24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213" w:hanging="427"/>
      </w:pPr>
      <w:rPr>
        <w:rFonts w:hint="default" w:ascii="Times New Roman" w:hAnsi="Times New Roman" w:eastAsia="Times New Roman" w:cs="Times New Roman"/>
        <w:sz w:val="24"/>
        <w:szCs w:val="24"/>
        <w:lang w:val="ru-RU" w:eastAsia="en-US" w:bidi="ar-SA"/>
      </w:rPr>
    </w:lvl>
    <w:lvl w:ilvl="2">
      <w:start w:val="1"/>
      <w:numFmt w:val="decimal"/>
      <w:isLgl w:val="false"/>
      <w:suff w:val="tab"/>
      <w:lvlText w:val="%3."/>
      <w:lvlJc w:val="left"/>
      <w:pPr>
        <w:ind w:left="505" w:hanging="36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6100" w:hanging="427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860" w:hanging="427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620" w:hanging="427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380" w:hanging="427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9140" w:hanging="427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9900" w:hanging="42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8"/>
    <w:link w:val="677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6"/>
    <w:next w:val="676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6"/>
    <w:next w:val="676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6"/>
    <w:next w:val="676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6"/>
    <w:next w:val="676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6"/>
    <w:next w:val="676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6"/>
    <w:next w:val="676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6"/>
    <w:next w:val="676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6"/>
    <w:next w:val="676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76"/>
    <w:next w:val="676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78"/>
    <w:link w:val="34"/>
    <w:uiPriority w:val="10"/>
    <w:rPr>
      <w:sz w:val="48"/>
      <w:szCs w:val="48"/>
    </w:rPr>
  </w:style>
  <w:style w:type="paragraph" w:styleId="36">
    <w:name w:val="Subtitle"/>
    <w:basedOn w:val="676"/>
    <w:next w:val="676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8"/>
    <w:link w:val="36"/>
    <w:uiPriority w:val="11"/>
    <w:rPr>
      <w:sz w:val="24"/>
      <w:szCs w:val="24"/>
    </w:rPr>
  </w:style>
  <w:style w:type="paragraph" w:styleId="38">
    <w:name w:val="Quote"/>
    <w:basedOn w:val="676"/>
    <w:next w:val="676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6"/>
    <w:next w:val="676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8"/>
    <w:link w:val="686"/>
    <w:uiPriority w:val="99"/>
  </w:style>
  <w:style w:type="character" w:styleId="45">
    <w:name w:val="Footer Char"/>
    <w:basedOn w:val="678"/>
    <w:link w:val="688"/>
    <w:uiPriority w:val="99"/>
  </w:style>
  <w:style w:type="paragraph" w:styleId="46">
    <w:name w:val="Caption"/>
    <w:basedOn w:val="676"/>
    <w:next w:val="67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8"/>
    <w:uiPriority w:val="99"/>
  </w:style>
  <w:style w:type="table" w:styleId="49">
    <w:name w:val="Table Grid Light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67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76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78"/>
    <w:uiPriority w:val="99"/>
    <w:unhideWhenUsed/>
    <w:rPr>
      <w:vertAlign w:val="superscript"/>
    </w:rPr>
  </w:style>
  <w:style w:type="paragraph" w:styleId="178">
    <w:name w:val="endnote text"/>
    <w:basedOn w:val="676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8"/>
    <w:uiPriority w:val="99"/>
    <w:semiHidden/>
    <w:unhideWhenUsed/>
    <w:rPr>
      <w:vertAlign w:val="superscript"/>
    </w:rPr>
  </w:style>
  <w:style w:type="paragraph" w:styleId="181">
    <w:name w:val="toc 1"/>
    <w:basedOn w:val="676"/>
    <w:next w:val="676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6"/>
    <w:next w:val="676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6"/>
    <w:next w:val="676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6"/>
    <w:next w:val="676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6"/>
    <w:next w:val="676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6"/>
    <w:next w:val="676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6"/>
    <w:next w:val="676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6"/>
    <w:next w:val="676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6"/>
    <w:next w:val="676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6"/>
    <w:next w:val="676"/>
    <w:uiPriority w:val="99"/>
    <w:unhideWhenUsed/>
    <w:pPr>
      <w:spacing w:after="0" w:afterAutospacing="0"/>
    </w:pPr>
  </w:style>
  <w:style w:type="paragraph" w:styleId="676" w:default="1">
    <w:name w:val="Normal"/>
    <w:qFormat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77">
    <w:name w:val="Heading 1"/>
    <w:basedOn w:val="676"/>
    <w:uiPriority w:val="9"/>
    <w:qFormat/>
    <w:pPr>
      <w:ind w:left="227" w:hanging="241"/>
      <w:outlineLvl w:val="0"/>
    </w:pPr>
    <w:rPr>
      <w:b/>
      <w:bCs/>
      <w:sz w:val="24"/>
      <w:szCs w:val="24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paragraph" w:styleId="681">
    <w:name w:val="Body Text"/>
    <w:basedOn w:val="676"/>
    <w:link w:val="685"/>
    <w:uiPriority w:val="1"/>
    <w:semiHidden/>
    <w:unhideWhenUsed/>
    <w:qFormat/>
    <w:pPr>
      <w:spacing w:after="0" w:line="240" w:lineRule="auto"/>
      <w:widowControl w:val="off"/>
    </w:pPr>
    <w:rPr>
      <w:rFonts w:ascii="Times New Roman" w:hAnsi="Times New Roman" w:eastAsia="Times New Roman" w:cs="Times New Roman"/>
      <w:sz w:val="24"/>
      <w:szCs w:val="24"/>
    </w:rPr>
  </w:style>
  <w:style w:type="paragraph" w:styleId="682">
    <w:name w:val="Normal (Web)"/>
    <w:basedOn w:val="676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83">
    <w:name w:val="Table Grid"/>
    <w:basedOn w:val="67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84">
    <w:name w:val="List Paragraph"/>
    <w:basedOn w:val="676"/>
    <w:uiPriority w:val="34"/>
    <w:qFormat/>
    <w:pPr>
      <w:contextualSpacing/>
      <w:ind w:left="720"/>
    </w:pPr>
  </w:style>
  <w:style w:type="character" w:styleId="685" w:customStyle="1">
    <w:name w:val="Основной текст Знак"/>
    <w:basedOn w:val="678"/>
    <w:link w:val="681"/>
    <w:uiPriority w:val="1"/>
    <w:semiHidden/>
    <w:qFormat/>
    <w:rPr>
      <w:rFonts w:ascii="Times New Roman" w:hAnsi="Times New Roman" w:eastAsia="Times New Roman" w:cs="Times New Roman"/>
      <w:sz w:val="24"/>
      <w:szCs w:val="24"/>
    </w:rPr>
  </w:style>
  <w:style w:type="paragraph" w:styleId="686">
    <w:name w:val="Header"/>
    <w:basedOn w:val="676"/>
    <w:link w:val="687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7" w:customStyle="1">
    <w:name w:val="Верхний колонтитул Знак"/>
    <w:basedOn w:val="678"/>
    <w:link w:val="686"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688">
    <w:name w:val="Footer"/>
    <w:basedOn w:val="676"/>
    <w:link w:val="689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89" w:customStyle="1">
    <w:name w:val="Нижний колонтитул Знак"/>
    <w:basedOn w:val="678"/>
    <w:link w:val="688"/>
    <w:uiPriority w:val="99"/>
    <w:rPr>
      <w:rFonts w:asciiTheme="minorHAnsi" w:hAnsiTheme="minorHAnsi" w:eastAsiaTheme="minorHAnsi" w:cstheme="minorBidi"/>
      <w:sz w:val="22"/>
      <w:szCs w:val="22"/>
      <w:lang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ONLYOFFICE/7.4.1.36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Iuliia</dc:creator>
  <cp:revision>10</cp:revision>
  <dcterms:created xsi:type="dcterms:W3CDTF">2025-05-23T00:43:00Z</dcterms:created>
  <dcterms:modified xsi:type="dcterms:W3CDTF">2025-12-22T06:27:12Z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8D9A71697A624A5DB1CCC622A604AAED_12</vt:lpwstr>
  </property>
</Properties>
</file>